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tcPr>
          <w:p>
            <w:pPr>
              <w:adjustRightInd w:val="0"/>
              <w:snapToGrid w:val="0"/>
              <w:spacing w:line="440" w:lineRule="exact"/>
              <w:rPr>
                <w:sz w:val="24"/>
              </w:rPr>
            </w:pPr>
            <w:bookmarkStart w:id="0" w:name="_Hlk142918300"/>
            <w:r>
              <w:rPr>
                <w:sz w:val="24"/>
              </w:rPr>
              <w:t>证券代码：000881</w:t>
            </w:r>
          </w:p>
        </w:tc>
        <w:tc>
          <w:tcPr>
            <w:tcW w:w="1667" w:type="pct"/>
          </w:tcPr>
          <w:p>
            <w:pPr>
              <w:adjustRightInd w:val="0"/>
              <w:snapToGrid w:val="0"/>
              <w:spacing w:line="440" w:lineRule="exact"/>
              <w:jc w:val="center"/>
              <w:rPr>
                <w:sz w:val="24"/>
              </w:rPr>
            </w:pPr>
            <w:r>
              <w:rPr>
                <w:sz w:val="24"/>
              </w:rPr>
              <w:t>证券简称：中广核技</w:t>
            </w:r>
          </w:p>
        </w:tc>
        <w:tc>
          <w:tcPr>
            <w:tcW w:w="1667" w:type="pct"/>
          </w:tcPr>
          <w:p>
            <w:pPr>
              <w:adjustRightInd w:val="0"/>
              <w:snapToGrid w:val="0"/>
              <w:spacing w:line="440" w:lineRule="exact"/>
              <w:jc w:val="right"/>
              <w:rPr>
                <w:rFonts w:hint="default" w:eastAsia="宋体"/>
                <w:sz w:val="24"/>
                <w:lang w:val="en-US" w:eastAsia="zh-CN"/>
              </w:rPr>
            </w:pPr>
            <w:r>
              <w:rPr>
                <w:sz w:val="24"/>
              </w:rPr>
              <w:t>公告编号：202</w:t>
            </w:r>
            <w:r>
              <w:rPr>
                <w:rFonts w:hint="eastAsia"/>
                <w:sz w:val="24"/>
                <w:lang w:val="en-US" w:eastAsia="zh-CN"/>
              </w:rPr>
              <w:t>4</w:t>
            </w:r>
            <w:r>
              <w:rPr>
                <w:sz w:val="24"/>
              </w:rPr>
              <w:t>-</w:t>
            </w:r>
            <w:r>
              <w:rPr>
                <w:rFonts w:hint="eastAsia"/>
                <w:sz w:val="24"/>
                <w:lang w:val="en-US" w:eastAsia="zh-CN"/>
              </w:rPr>
              <w:t>004</w:t>
            </w:r>
          </w:p>
        </w:tc>
      </w:tr>
    </w:tbl>
    <w:p>
      <w:pPr>
        <w:spacing w:before="156" w:beforeLines="50"/>
        <w:contextualSpacing/>
        <w:jc w:val="center"/>
        <w:rPr>
          <w:b/>
          <w:sz w:val="36"/>
          <w:szCs w:val="36"/>
        </w:rPr>
      </w:pPr>
      <w:r>
        <w:rPr>
          <w:rFonts w:hint="eastAsia"/>
          <w:b/>
          <w:sz w:val="36"/>
          <w:szCs w:val="36"/>
        </w:rPr>
        <w:t>中广核核技术发展股份有限公司</w:t>
      </w:r>
    </w:p>
    <w:p>
      <w:pPr>
        <w:spacing w:before="156" w:beforeLines="50"/>
        <w:contextualSpacing/>
        <w:jc w:val="center"/>
        <w:rPr>
          <w:b/>
          <w:sz w:val="36"/>
          <w:szCs w:val="36"/>
        </w:rPr>
      </w:pPr>
      <w:r>
        <w:rPr>
          <w:rFonts w:hint="eastAsia"/>
          <w:b/>
          <w:sz w:val="36"/>
          <w:szCs w:val="36"/>
        </w:rPr>
        <w:t>关于发行股份及支付现金购买资产并募集配套资金暨关联交易事项的进展公告</w:t>
      </w:r>
    </w:p>
    <w:bookmarkEnd w:id="0"/>
    <w:p>
      <w:pPr>
        <w:snapToGrid w:val="0"/>
        <w:spacing w:before="312" w:beforeLines="100" w:line="360" w:lineRule="auto"/>
        <w:ind w:firstLine="422" w:firstLineChars="200"/>
        <w:rPr>
          <w:b/>
          <w:bCs/>
          <w:sz w:val="24"/>
        </w:rPr>
      </w:pPr>
      <w:r>
        <w:rPr>
          <w:b/>
          <w:szCs w:val="21"/>
        </w:rPr>
        <w:t>本公司及董事会全体成员保证信息披露的内容真实、准确、完整，没有虚假记载、误导性陈述或者重大遗漏。</w:t>
      </w:r>
    </w:p>
    <w:p>
      <w:pPr>
        <w:spacing w:line="360" w:lineRule="auto"/>
        <w:ind w:firstLine="482" w:firstLineChars="200"/>
        <w:jc w:val="left"/>
        <w:rPr>
          <w:rFonts w:hint="eastAsia"/>
          <w:b/>
          <w:bCs/>
          <w:sz w:val="24"/>
          <w:szCs w:val="28"/>
          <w:lang w:val="en-US" w:eastAsia="zh-CN"/>
        </w:rPr>
      </w:pPr>
      <w:r>
        <w:rPr>
          <w:rFonts w:hint="eastAsia"/>
          <w:b/>
          <w:bCs/>
          <w:sz w:val="24"/>
          <w:szCs w:val="28"/>
          <w:lang w:val="en-US" w:eastAsia="zh-CN"/>
        </w:rPr>
        <w:t>特别提示：</w:t>
      </w:r>
    </w:p>
    <w:p>
      <w:pPr>
        <w:spacing w:line="360" w:lineRule="auto"/>
        <w:ind w:firstLine="482" w:firstLineChars="200"/>
        <w:jc w:val="both"/>
        <w:rPr>
          <w:rFonts w:hint="eastAsia"/>
          <w:b/>
          <w:bCs/>
          <w:color w:val="auto"/>
          <w:sz w:val="24"/>
          <w:szCs w:val="28"/>
          <w:lang w:val="en-US" w:eastAsia="zh-CN"/>
        </w:rPr>
      </w:pPr>
      <w:r>
        <w:rPr>
          <w:rFonts w:hint="eastAsia"/>
          <w:b/>
          <w:bCs/>
          <w:color w:val="auto"/>
          <w:sz w:val="24"/>
          <w:szCs w:val="28"/>
          <w:lang w:val="en-US" w:eastAsia="zh-CN"/>
        </w:rPr>
        <w:t>1、公司于2023年8月28日披露的《发行股份及支付现金购买资产并募集配套资金暨关联交易报告书（草案）》（以下称“重组报告书”）中已对本次交易涉及的有关风险因素及尚需履行的审批程序进行了详细说明，敬请广大投资者认真阅读有关内容，并注意投资风险。</w:t>
      </w:r>
    </w:p>
    <w:p>
      <w:pPr>
        <w:spacing w:line="360" w:lineRule="auto"/>
        <w:ind w:firstLine="482" w:firstLineChars="200"/>
        <w:jc w:val="both"/>
        <w:rPr>
          <w:rFonts w:hint="eastAsia"/>
          <w:b/>
          <w:bCs/>
          <w:color w:val="auto"/>
          <w:sz w:val="24"/>
          <w:szCs w:val="28"/>
          <w:lang w:val="en-US" w:eastAsia="zh-CN"/>
        </w:rPr>
      </w:pPr>
      <w:r>
        <w:rPr>
          <w:rFonts w:hint="eastAsia"/>
          <w:b/>
          <w:bCs/>
          <w:color w:val="auto"/>
          <w:sz w:val="24"/>
          <w:szCs w:val="28"/>
          <w:lang w:val="en-US" w:eastAsia="zh-CN"/>
        </w:rPr>
        <w:t>2、鉴于本次交易申请文件中记载的财务数据有效期已于2023年10月31日届满，且本次交易评估报告已于2023年12月31日到期，目前交易双方正对后续推进方案进行论证，尚未达成一致意见，可能存在对本次交易方案作出实质性变更或终止本次交易的相关风险，敬请广大投资者注意投资风险。</w:t>
      </w:r>
    </w:p>
    <w:p>
      <w:pPr>
        <w:spacing w:line="360" w:lineRule="auto"/>
        <w:ind w:firstLine="482" w:firstLineChars="200"/>
        <w:jc w:val="left"/>
        <w:rPr>
          <w:color w:val="auto"/>
        </w:rPr>
      </w:pPr>
      <w:r>
        <w:rPr>
          <w:rFonts w:hint="eastAsia"/>
          <w:b/>
          <w:bCs/>
          <w:color w:val="auto"/>
          <w:sz w:val="24"/>
          <w:szCs w:val="28"/>
        </w:rPr>
        <w:t>一、本次交易概况</w:t>
      </w:r>
    </w:p>
    <w:p>
      <w:pPr>
        <w:autoSpaceDE w:val="0"/>
        <w:autoSpaceDN w:val="0"/>
        <w:adjustRightInd w:val="0"/>
        <w:spacing w:before="156" w:beforeLines="50" w:line="360" w:lineRule="auto"/>
        <w:ind w:firstLine="420" w:firstLineChars="200"/>
        <w:rPr>
          <w:color w:val="auto"/>
          <w:kern w:val="0"/>
          <w:sz w:val="24"/>
        </w:rPr>
      </w:pPr>
      <w:r>
        <w:rPr>
          <w:color w:val="auto"/>
        </w:rPr>
        <w:fldChar w:fldCharType="begin"/>
      </w:r>
      <w:r>
        <w:rPr>
          <w:color w:val="auto"/>
        </w:rPr>
        <w:instrText xml:space="preserve"> HYPERLINK "https://aiqicha.baidu.com/company_detail_31457216050522" \t "_blank" </w:instrText>
      </w:r>
      <w:r>
        <w:rPr>
          <w:color w:val="auto"/>
        </w:rPr>
        <w:fldChar w:fldCharType="separate"/>
      </w:r>
      <w:r>
        <w:rPr>
          <w:rFonts w:hint="eastAsia"/>
          <w:color w:val="auto"/>
          <w:kern w:val="0"/>
          <w:sz w:val="24"/>
        </w:rPr>
        <w:t>中广核核技术发展股份有限公司</w:t>
      </w:r>
      <w:r>
        <w:rPr>
          <w:rFonts w:hint="eastAsia"/>
          <w:color w:val="auto"/>
          <w:kern w:val="0"/>
          <w:sz w:val="24"/>
        </w:rPr>
        <w:fldChar w:fldCharType="end"/>
      </w:r>
      <w:r>
        <w:rPr>
          <w:rFonts w:hint="eastAsia"/>
          <w:color w:val="auto"/>
          <w:kern w:val="0"/>
          <w:sz w:val="24"/>
        </w:rPr>
        <w:t>（以下简称“公司”）拟以发行股份及支付现金的方式购买</w:t>
      </w:r>
      <w:r>
        <w:rPr>
          <w:color w:val="auto"/>
        </w:rPr>
        <w:fldChar w:fldCharType="begin"/>
      </w:r>
      <w:r>
        <w:rPr>
          <w:color w:val="auto"/>
        </w:rPr>
        <w:instrText xml:space="preserve"> HYPERLINK "https://aiqicha.baidu.com/company_detail_84932637511819" \t "_blank" </w:instrText>
      </w:r>
      <w:r>
        <w:rPr>
          <w:color w:val="auto"/>
        </w:rPr>
        <w:fldChar w:fldCharType="separate"/>
      </w:r>
      <w:r>
        <w:rPr>
          <w:rFonts w:hint="eastAsia"/>
          <w:color w:val="auto"/>
          <w:kern w:val="0"/>
          <w:sz w:val="24"/>
        </w:rPr>
        <w:t>中广核核技术应用有限公司</w:t>
      </w:r>
      <w:r>
        <w:rPr>
          <w:rFonts w:hint="eastAsia"/>
          <w:color w:val="auto"/>
          <w:kern w:val="0"/>
          <w:sz w:val="24"/>
        </w:rPr>
        <w:fldChar w:fldCharType="end"/>
      </w:r>
      <w:r>
        <w:rPr>
          <w:rFonts w:hint="eastAsia"/>
          <w:color w:val="auto"/>
          <w:kern w:val="0"/>
          <w:sz w:val="24"/>
        </w:rPr>
        <w:t>（以下简称“中广核核技术”）持有</w:t>
      </w:r>
      <w:r>
        <w:rPr>
          <w:color w:val="auto"/>
        </w:rPr>
        <w:fldChar w:fldCharType="begin"/>
      </w:r>
      <w:r>
        <w:rPr>
          <w:color w:val="auto"/>
        </w:rPr>
        <w:instrText xml:space="preserve"> HYPERLINK "https://aiqicha.baidu.com/company_detail_78762264867241" \t "_blank" </w:instrText>
      </w:r>
      <w:r>
        <w:rPr>
          <w:color w:val="auto"/>
        </w:rPr>
        <w:fldChar w:fldCharType="separate"/>
      </w:r>
      <w:r>
        <w:rPr>
          <w:rFonts w:hint="eastAsia"/>
          <w:color w:val="auto"/>
          <w:kern w:val="0"/>
          <w:sz w:val="24"/>
        </w:rPr>
        <w:t>中广核贝谷科技有限公司</w:t>
      </w:r>
      <w:r>
        <w:rPr>
          <w:rFonts w:hint="eastAsia"/>
          <w:color w:val="auto"/>
          <w:kern w:val="0"/>
          <w:sz w:val="24"/>
        </w:rPr>
        <w:fldChar w:fldCharType="end"/>
      </w:r>
      <w:r>
        <w:rPr>
          <w:rFonts w:hint="eastAsia"/>
          <w:color w:val="auto"/>
          <w:kern w:val="0"/>
          <w:sz w:val="24"/>
        </w:rPr>
        <w:t>（以下简称“贝谷科技”）</w:t>
      </w:r>
      <w:r>
        <w:rPr>
          <w:color w:val="auto"/>
          <w:kern w:val="0"/>
          <w:sz w:val="24"/>
        </w:rPr>
        <w:t>30%</w:t>
      </w:r>
      <w:r>
        <w:rPr>
          <w:rFonts w:hint="eastAsia"/>
          <w:color w:val="auto"/>
          <w:kern w:val="0"/>
          <w:sz w:val="24"/>
        </w:rPr>
        <w:t>的股权、拟以发行股份及支付现金的方式购买吉安市云科通科技合伙企业（有限合伙）持有贝谷科技</w:t>
      </w:r>
      <w:r>
        <w:rPr>
          <w:color w:val="auto"/>
          <w:kern w:val="0"/>
          <w:sz w:val="24"/>
        </w:rPr>
        <w:t>49%</w:t>
      </w:r>
      <w:r>
        <w:rPr>
          <w:rFonts w:hint="eastAsia"/>
          <w:color w:val="auto"/>
          <w:kern w:val="0"/>
          <w:sz w:val="24"/>
        </w:rPr>
        <w:t>的股权、拟向中广核核技术发行股份募集配套资金，募集资金总额不超过人民币</w:t>
      </w:r>
      <w:r>
        <w:rPr>
          <w:color w:val="auto"/>
          <w:kern w:val="0"/>
          <w:sz w:val="24"/>
        </w:rPr>
        <w:t>30,000</w:t>
      </w:r>
      <w:r>
        <w:rPr>
          <w:rFonts w:hint="eastAsia"/>
          <w:color w:val="auto"/>
          <w:kern w:val="0"/>
          <w:sz w:val="24"/>
        </w:rPr>
        <w:t>万元，发行股份数量不超过本次交易前上市公司总股本的</w:t>
      </w:r>
      <w:r>
        <w:rPr>
          <w:color w:val="auto"/>
          <w:kern w:val="0"/>
          <w:sz w:val="24"/>
        </w:rPr>
        <w:t>30%</w:t>
      </w:r>
      <w:r>
        <w:rPr>
          <w:rFonts w:hint="eastAsia"/>
          <w:color w:val="auto"/>
          <w:kern w:val="0"/>
          <w:sz w:val="24"/>
        </w:rPr>
        <w:t>（以下简称“本次交易”）。</w:t>
      </w:r>
    </w:p>
    <w:p>
      <w:pPr>
        <w:spacing w:line="360" w:lineRule="auto"/>
        <w:ind w:firstLine="482" w:firstLineChars="200"/>
        <w:jc w:val="left"/>
        <w:rPr>
          <w:b/>
          <w:bCs/>
          <w:color w:val="auto"/>
          <w:sz w:val="24"/>
          <w:szCs w:val="28"/>
        </w:rPr>
      </w:pPr>
      <w:r>
        <w:rPr>
          <w:rFonts w:hint="eastAsia"/>
          <w:b/>
          <w:bCs/>
          <w:color w:val="auto"/>
          <w:sz w:val="24"/>
          <w:szCs w:val="28"/>
        </w:rPr>
        <w:t>二、本次交易的历史披露情况</w:t>
      </w:r>
    </w:p>
    <w:p>
      <w:pPr>
        <w:spacing w:line="360" w:lineRule="auto"/>
        <w:ind w:firstLine="480" w:firstLineChars="200"/>
        <w:rPr>
          <w:color w:val="auto"/>
          <w:sz w:val="24"/>
          <w:szCs w:val="28"/>
        </w:rPr>
      </w:pPr>
      <w:r>
        <w:rPr>
          <w:rFonts w:hint="eastAsia"/>
          <w:color w:val="auto"/>
          <w:sz w:val="24"/>
          <w:szCs w:val="28"/>
        </w:rPr>
        <w:t>公司因筹划发行股份及支付现金购买资产暨关联交易事项，因有关事项尚存不确定性，为了维护投资者利益，避免对公司股价造成重大影响，根据深圳证券交易所的相关规定，经公司申请，公司证券（证券品种：</w:t>
      </w:r>
      <w:r>
        <w:rPr>
          <w:color w:val="auto"/>
          <w:sz w:val="24"/>
          <w:szCs w:val="28"/>
        </w:rPr>
        <w:t>A股股票，证券简称：中广核技，证券</w:t>
      </w:r>
      <w:r>
        <w:rPr>
          <w:rFonts w:hint="eastAsia"/>
          <w:color w:val="auto"/>
          <w:sz w:val="24"/>
          <w:szCs w:val="28"/>
        </w:rPr>
        <w:t>代码：</w:t>
      </w:r>
      <w:r>
        <w:rPr>
          <w:color w:val="auto"/>
          <w:sz w:val="24"/>
          <w:szCs w:val="28"/>
        </w:rPr>
        <w:t>000881）自2022年6月28日开市起开始停牌。</w:t>
      </w:r>
    </w:p>
    <w:p>
      <w:pPr>
        <w:widowControl/>
        <w:spacing w:line="360" w:lineRule="auto"/>
        <w:ind w:firstLine="480" w:firstLineChars="200"/>
        <w:rPr>
          <w:color w:val="auto"/>
          <w:sz w:val="24"/>
          <w:szCs w:val="28"/>
        </w:rPr>
      </w:pPr>
      <w:r>
        <w:rPr>
          <w:rFonts w:hint="eastAsia"/>
          <w:color w:val="auto"/>
          <w:sz w:val="24"/>
          <w:szCs w:val="28"/>
        </w:rPr>
        <w:t>2</w:t>
      </w:r>
      <w:r>
        <w:rPr>
          <w:color w:val="auto"/>
          <w:sz w:val="24"/>
          <w:szCs w:val="28"/>
        </w:rPr>
        <w:t>022</w:t>
      </w:r>
      <w:r>
        <w:rPr>
          <w:rFonts w:hint="eastAsia"/>
          <w:color w:val="auto"/>
          <w:sz w:val="24"/>
          <w:szCs w:val="28"/>
        </w:rPr>
        <w:t>年6月2</w:t>
      </w:r>
      <w:r>
        <w:rPr>
          <w:color w:val="auto"/>
          <w:sz w:val="24"/>
          <w:szCs w:val="28"/>
        </w:rPr>
        <w:t>9</w:t>
      </w:r>
      <w:r>
        <w:rPr>
          <w:rFonts w:hint="eastAsia"/>
          <w:color w:val="auto"/>
          <w:sz w:val="24"/>
          <w:szCs w:val="28"/>
        </w:rPr>
        <w:t>日，公司召开了第九届董事会第二十八次会议，审议通过了《关于</w:t>
      </w:r>
      <w:r>
        <w:rPr>
          <w:color w:val="auto"/>
          <w:sz w:val="24"/>
          <w:szCs w:val="28"/>
        </w:rPr>
        <w:t>&lt;中广核核技术发展股份有限公司发行股份购买资产</w:t>
      </w:r>
      <w:r>
        <w:rPr>
          <w:rFonts w:hint="eastAsia"/>
          <w:color w:val="auto"/>
          <w:sz w:val="24"/>
          <w:szCs w:val="28"/>
        </w:rPr>
        <w:t>暨关联交易报告书（草案）</w:t>
      </w:r>
      <w:r>
        <w:rPr>
          <w:color w:val="auto"/>
          <w:sz w:val="24"/>
          <w:szCs w:val="28"/>
        </w:rPr>
        <w:t>&gt;及其摘要的议案</w:t>
      </w:r>
      <w:r>
        <w:rPr>
          <w:rFonts w:hint="eastAsia"/>
          <w:color w:val="auto"/>
          <w:sz w:val="24"/>
          <w:szCs w:val="28"/>
        </w:rPr>
        <w:t>》等相关议案。经公司申请，公司股票于2</w:t>
      </w:r>
      <w:r>
        <w:rPr>
          <w:color w:val="auto"/>
          <w:sz w:val="24"/>
          <w:szCs w:val="28"/>
        </w:rPr>
        <w:t>022</w:t>
      </w:r>
      <w:r>
        <w:rPr>
          <w:rFonts w:hint="eastAsia"/>
          <w:color w:val="auto"/>
          <w:sz w:val="24"/>
          <w:szCs w:val="28"/>
        </w:rPr>
        <w:t>年7月1日开市起复牌。具体内容详见公司分别于2</w:t>
      </w:r>
      <w:r>
        <w:rPr>
          <w:color w:val="auto"/>
          <w:sz w:val="24"/>
          <w:szCs w:val="28"/>
        </w:rPr>
        <w:t>022</w:t>
      </w:r>
      <w:r>
        <w:rPr>
          <w:rFonts w:hint="eastAsia"/>
          <w:color w:val="auto"/>
          <w:sz w:val="24"/>
          <w:szCs w:val="28"/>
        </w:rPr>
        <w:t>年6月28日、7月1日发布的相关公告。后续在发出股东大会通知前每三十日就本次交易的最新进展发布了进展公告。</w:t>
      </w:r>
    </w:p>
    <w:p>
      <w:pPr>
        <w:widowControl/>
        <w:spacing w:line="360" w:lineRule="auto"/>
        <w:ind w:firstLine="480" w:firstLineChars="200"/>
        <w:rPr>
          <w:color w:val="auto"/>
          <w:sz w:val="24"/>
          <w:szCs w:val="28"/>
        </w:rPr>
      </w:pPr>
      <w:r>
        <w:rPr>
          <w:rFonts w:hint="eastAsia"/>
          <w:color w:val="auto"/>
          <w:sz w:val="24"/>
          <w:szCs w:val="28"/>
        </w:rPr>
        <w:t>公司因筹划调整发行股份及支付现金购买资产暨关联交易事项，经公司申请，公司证券（证券品种：A股股票，证券简称：中广核技，证券代码：000881）自2023年8月21日开市起开始停牌。</w:t>
      </w:r>
    </w:p>
    <w:p>
      <w:pPr>
        <w:spacing w:before="50" w:after="50" w:line="360" w:lineRule="auto"/>
        <w:ind w:firstLine="480" w:firstLineChars="200"/>
        <w:rPr>
          <w:color w:val="auto"/>
          <w:sz w:val="24"/>
          <w:szCs w:val="28"/>
        </w:rPr>
      </w:pPr>
      <w:r>
        <w:rPr>
          <w:color w:val="auto"/>
          <w:sz w:val="24"/>
          <w:szCs w:val="28"/>
        </w:rPr>
        <w:t>2023</w:t>
      </w:r>
      <w:r>
        <w:rPr>
          <w:rFonts w:hint="eastAsia"/>
          <w:color w:val="auto"/>
          <w:sz w:val="24"/>
          <w:szCs w:val="28"/>
        </w:rPr>
        <w:t>年8月24日，中广核技召开第十届董事会第九次会议，审议通过了</w:t>
      </w:r>
      <w:r>
        <w:rPr>
          <w:color w:val="auto"/>
          <w:sz w:val="24"/>
          <w:szCs w:val="28"/>
        </w:rPr>
        <w:t>《关于&lt;中广核核技术发展股份有限公司发行股份</w:t>
      </w:r>
      <w:r>
        <w:rPr>
          <w:rFonts w:hint="eastAsia"/>
          <w:color w:val="auto"/>
          <w:sz w:val="24"/>
          <w:szCs w:val="28"/>
        </w:rPr>
        <w:t>及支付现金</w:t>
      </w:r>
      <w:r>
        <w:rPr>
          <w:color w:val="auto"/>
          <w:sz w:val="24"/>
          <w:szCs w:val="28"/>
        </w:rPr>
        <w:t>购买资产</w:t>
      </w:r>
      <w:r>
        <w:rPr>
          <w:rFonts w:hint="eastAsia"/>
          <w:color w:val="auto"/>
          <w:sz w:val="24"/>
          <w:szCs w:val="28"/>
        </w:rPr>
        <w:t>并募集配套资金</w:t>
      </w:r>
      <w:r>
        <w:rPr>
          <w:color w:val="auto"/>
          <w:sz w:val="24"/>
          <w:szCs w:val="28"/>
        </w:rPr>
        <w:t>暨关联交易报告书（草案）&gt;</w:t>
      </w:r>
      <w:r>
        <w:rPr>
          <w:rFonts w:hint="eastAsia"/>
          <w:color w:val="auto"/>
          <w:sz w:val="24"/>
          <w:szCs w:val="28"/>
        </w:rPr>
        <w:t>（修订稿）</w:t>
      </w:r>
      <w:r>
        <w:rPr>
          <w:color w:val="auto"/>
          <w:sz w:val="24"/>
          <w:szCs w:val="28"/>
        </w:rPr>
        <w:t>及其摘要的议案》等相关议案</w:t>
      </w:r>
      <w:r>
        <w:rPr>
          <w:rFonts w:hint="eastAsia"/>
          <w:color w:val="auto"/>
          <w:sz w:val="24"/>
          <w:szCs w:val="28"/>
        </w:rPr>
        <w:t>，对本次交易方案进行了调整。经公司申请，公司股票于2023年8月28日（星期一）上午开市起复牌。</w:t>
      </w:r>
    </w:p>
    <w:p>
      <w:pPr>
        <w:spacing w:line="360" w:lineRule="auto"/>
        <w:ind w:firstLine="480" w:firstLineChars="200"/>
        <w:jc w:val="left"/>
        <w:rPr>
          <w:color w:val="auto"/>
          <w:sz w:val="24"/>
          <w:szCs w:val="28"/>
        </w:rPr>
      </w:pPr>
      <w:r>
        <w:rPr>
          <w:rFonts w:hint="eastAsia"/>
          <w:color w:val="auto"/>
          <w:sz w:val="24"/>
          <w:szCs w:val="28"/>
        </w:rPr>
        <w:t>2023年9月5日，公司发出《关于召开2023年第五次临时股东大会的通知》。</w:t>
      </w:r>
    </w:p>
    <w:p>
      <w:pPr>
        <w:spacing w:line="360" w:lineRule="auto"/>
        <w:ind w:firstLine="480" w:firstLineChars="200"/>
        <w:jc w:val="left"/>
        <w:rPr>
          <w:color w:val="auto"/>
          <w:sz w:val="24"/>
          <w:szCs w:val="28"/>
        </w:rPr>
      </w:pPr>
      <w:r>
        <w:rPr>
          <w:color w:val="auto"/>
          <w:sz w:val="24"/>
          <w:szCs w:val="28"/>
        </w:rPr>
        <w:t>2023年9月20日</w:t>
      </w:r>
      <w:r>
        <w:rPr>
          <w:rFonts w:hint="eastAsia"/>
          <w:color w:val="auto"/>
          <w:sz w:val="24"/>
          <w:szCs w:val="28"/>
        </w:rPr>
        <w:t>，公司2023年第五次临时股东大会审议通过了《关于&lt;中广核核技术发展股份有限公司发行股份及支付现金购买资产并募集配套资金暨关联交易报告书（草案）&gt;（修订稿）及其摘要的议案》等相关议案。</w:t>
      </w:r>
    </w:p>
    <w:p>
      <w:pPr>
        <w:spacing w:line="360" w:lineRule="auto"/>
        <w:ind w:firstLine="480" w:firstLineChars="200"/>
        <w:jc w:val="left"/>
        <w:rPr>
          <w:color w:val="auto"/>
          <w:sz w:val="24"/>
          <w:szCs w:val="28"/>
        </w:rPr>
      </w:pPr>
      <w:r>
        <w:rPr>
          <w:rFonts w:hint="eastAsia"/>
          <w:color w:val="auto"/>
          <w:sz w:val="24"/>
          <w:szCs w:val="28"/>
        </w:rPr>
        <w:t>2023年10月28日，公司披露了《关于发行股份及支付现金购买资产并募集配套资金暨关联交易事项的进展公告》。</w:t>
      </w:r>
    </w:p>
    <w:p>
      <w:pPr>
        <w:spacing w:line="360" w:lineRule="auto"/>
        <w:ind w:firstLine="480" w:firstLineChars="200"/>
        <w:jc w:val="left"/>
        <w:rPr>
          <w:rFonts w:hint="eastAsia"/>
          <w:color w:val="auto"/>
          <w:sz w:val="24"/>
          <w:szCs w:val="28"/>
        </w:rPr>
      </w:pPr>
      <w:r>
        <w:rPr>
          <w:rFonts w:hint="eastAsia"/>
          <w:color w:val="auto"/>
          <w:sz w:val="24"/>
          <w:szCs w:val="28"/>
        </w:rPr>
        <w:t>2023年11月28日，公司披露了《关于发行股份及支付现金购买资产并募集配套资金暨关联交易事项的进展公告》。</w:t>
      </w:r>
    </w:p>
    <w:p>
      <w:pPr>
        <w:spacing w:line="360" w:lineRule="auto"/>
        <w:ind w:firstLine="480" w:firstLineChars="200"/>
        <w:jc w:val="left"/>
        <w:rPr>
          <w:rFonts w:hint="default" w:eastAsia="宋体"/>
          <w:color w:val="auto"/>
          <w:sz w:val="24"/>
          <w:szCs w:val="28"/>
          <w:lang w:val="en-US" w:eastAsia="zh-CN"/>
        </w:rPr>
      </w:pPr>
      <w:r>
        <w:rPr>
          <w:rFonts w:hint="eastAsia"/>
          <w:color w:val="auto"/>
          <w:sz w:val="24"/>
          <w:szCs w:val="28"/>
          <w:lang w:val="en-US" w:eastAsia="zh-CN"/>
        </w:rPr>
        <w:t>2023年</w:t>
      </w:r>
      <w:r>
        <w:rPr>
          <w:rFonts w:hint="eastAsia"/>
          <w:color w:val="auto"/>
          <w:sz w:val="24"/>
          <w:szCs w:val="28"/>
        </w:rPr>
        <w:t>1</w:t>
      </w:r>
      <w:r>
        <w:rPr>
          <w:rFonts w:hint="eastAsia"/>
          <w:color w:val="auto"/>
          <w:sz w:val="24"/>
          <w:szCs w:val="28"/>
          <w:lang w:val="en-US" w:eastAsia="zh-CN"/>
        </w:rPr>
        <w:t>2</w:t>
      </w:r>
      <w:r>
        <w:rPr>
          <w:rFonts w:hint="eastAsia"/>
          <w:color w:val="auto"/>
          <w:sz w:val="24"/>
          <w:szCs w:val="28"/>
        </w:rPr>
        <w:t>月28日，公司披露了《关于发行股份及支付现金购买资产并募集配套资金暨关联交易事项的进展公告》。</w:t>
      </w:r>
    </w:p>
    <w:p>
      <w:pPr>
        <w:spacing w:line="360" w:lineRule="auto"/>
        <w:ind w:firstLine="482" w:firstLineChars="200"/>
        <w:jc w:val="left"/>
        <w:rPr>
          <w:color w:val="auto"/>
          <w:kern w:val="0"/>
          <w:sz w:val="24"/>
        </w:rPr>
      </w:pPr>
      <w:r>
        <w:rPr>
          <w:rFonts w:hint="eastAsia"/>
          <w:b/>
          <w:bCs/>
          <w:color w:val="auto"/>
          <w:sz w:val="24"/>
          <w:szCs w:val="28"/>
        </w:rPr>
        <w:t>三、本次交易的进展情况</w:t>
      </w:r>
    </w:p>
    <w:p>
      <w:pPr>
        <w:autoSpaceDE w:val="0"/>
        <w:autoSpaceDN w:val="0"/>
        <w:adjustRightInd w:val="0"/>
        <w:spacing w:before="156" w:beforeLines="50" w:line="360" w:lineRule="auto"/>
        <w:ind w:firstLine="480" w:firstLineChars="200"/>
        <w:rPr>
          <w:color w:val="auto"/>
          <w:sz w:val="24"/>
        </w:rPr>
      </w:pPr>
      <w:r>
        <w:rPr>
          <w:rFonts w:hint="eastAsia"/>
          <w:color w:val="auto"/>
          <w:kern w:val="0"/>
          <w:sz w:val="24"/>
        </w:rPr>
        <w:t>公司已召开2023年第五次临时股东大会审议通过本次交易相关议案。本次交易尚需根据监管机构意见对相关事项进行补充核查，同时本次交易申</w:t>
      </w:r>
      <w:r>
        <w:rPr>
          <w:rFonts w:hint="eastAsia"/>
          <w:color w:val="auto"/>
          <w:sz w:val="24"/>
        </w:rPr>
        <w:t>请文件中记载的财务数据有效期已于2</w:t>
      </w:r>
      <w:r>
        <w:rPr>
          <w:color w:val="auto"/>
          <w:sz w:val="24"/>
        </w:rPr>
        <w:t>023</w:t>
      </w:r>
      <w:r>
        <w:rPr>
          <w:rFonts w:hint="eastAsia"/>
          <w:color w:val="auto"/>
          <w:sz w:val="24"/>
        </w:rPr>
        <w:t>年1</w:t>
      </w:r>
      <w:r>
        <w:rPr>
          <w:color w:val="auto"/>
          <w:sz w:val="24"/>
        </w:rPr>
        <w:t>0</w:t>
      </w:r>
      <w:r>
        <w:rPr>
          <w:rFonts w:hint="eastAsia"/>
          <w:color w:val="auto"/>
          <w:sz w:val="24"/>
        </w:rPr>
        <w:t>月3</w:t>
      </w:r>
      <w:r>
        <w:rPr>
          <w:color w:val="auto"/>
          <w:sz w:val="24"/>
        </w:rPr>
        <w:t>1</w:t>
      </w:r>
      <w:r>
        <w:rPr>
          <w:rFonts w:hint="eastAsia"/>
          <w:color w:val="auto"/>
          <w:sz w:val="24"/>
        </w:rPr>
        <w:t>日届满，且本次交易评估报告</w:t>
      </w:r>
      <w:r>
        <w:rPr>
          <w:rFonts w:hint="eastAsia"/>
          <w:color w:val="auto"/>
          <w:sz w:val="24"/>
          <w:lang w:val="en-US" w:eastAsia="zh-CN"/>
        </w:rPr>
        <w:t>已</w:t>
      </w:r>
      <w:r>
        <w:rPr>
          <w:rFonts w:hint="eastAsia"/>
          <w:color w:val="auto"/>
          <w:sz w:val="24"/>
        </w:rPr>
        <w:t>于2023年12月31日到期。目前交易双方正对后续推进方案进行论证，尚未达成一致意见，公司将根据相关进展情况及时履行信息披露义务。</w:t>
      </w:r>
    </w:p>
    <w:p>
      <w:pPr>
        <w:spacing w:line="360" w:lineRule="auto"/>
        <w:ind w:firstLine="482" w:firstLineChars="200"/>
        <w:jc w:val="left"/>
        <w:rPr>
          <w:color w:val="auto"/>
          <w:kern w:val="0"/>
          <w:sz w:val="24"/>
        </w:rPr>
      </w:pPr>
      <w:r>
        <w:rPr>
          <w:rFonts w:hint="eastAsia"/>
          <w:b/>
          <w:bCs/>
          <w:color w:val="auto"/>
          <w:sz w:val="24"/>
          <w:szCs w:val="28"/>
        </w:rPr>
        <w:t>四、风险提示</w:t>
      </w:r>
    </w:p>
    <w:p>
      <w:pPr>
        <w:autoSpaceDE w:val="0"/>
        <w:autoSpaceDN w:val="0"/>
        <w:adjustRightInd w:val="0"/>
        <w:spacing w:before="156" w:beforeLines="50" w:line="360" w:lineRule="auto"/>
        <w:ind w:firstLine="480" w:firstLineChars="200"/>
        <w:rPr>
          <w:color w:val="auto"/>
          <w:kern w:val="0"/>
          <w:sz w:val="24"/>
        </w:rPr>
      </w:pPr>
      <w:r>
        <w:rPr>
          <w:rFonts w:hint="eastAsia"/>
          <w:color w:val="auto"/>
          <w:kern w:val="0"/>
          <w:sz w:val="24"/>
        </w:rPr>
        <w:t>本次交易尚需履行必要的内部决策程序，并经深圳证券交易所审核通过和中国证监会予以注册同意后方可实施，本次交易能否获得相关部门的批准，以及最终获得批准的时间存在不确定性。目前交易双方正对后续推进方案进行论证，尚未达成一致意见，可能存在对本次交易方案作出实质性变更或终止本次交易的相关风险。后续公司将根据本次交易的进展情况，严格按照有关法律法规的规定和要求及时履行信息披露义务，每三十日就本次交易的最新进展发布一次进展公告，有关信息均以公司指定信息披露媒体发布的公告为准。敬请广大投资者关注相关公告，理性投资并注意投资风险。</w:t>
      </w:r>
    </w:p>
    <w:p>
      <w:pPr>
        <w:autoSpaceDE w:val="0"/>
        <w:autoSpaceDN w:val="0"/>
        <w:adjustRightInd w:val="0"/>
        <w:spacing w:before="156" w:beforeLines="50" w:line="360" w:lineRule="auto"/>
        <w:ind w:firstLine="480" w:firstLineChars="200"/>
        <w:rPr>
          <w:color w:val="auto"/>
          <w:sz w:val="24"/>
        </w:rPr>
      </w:pPr>
      <w:r>
        <w:rPr>
          <w:rFonts w:hint="eastAsia"/>
          <w:color w:val="auto"/>
          <w:sz w:val="24"/>
        </w:rPr>
        <w:t>特此公告。</w:t>
      </w:r>
    </w:p>
    <w:p>
      <w:pPr>
        <w:spacing w:before="50" w:after="50" w:line="360" w:lineRule="auto"/>
        <w:ind w:firstLine="480" w:firstLineChars="200"/>
        <w:rPr>
          <w:color w:val="auto"/>
          <w:sz w:val="24"/>
          <w:szCs w:val="28"/>
        </w:rPr>
      </w:pPr>
    </w:p>
    <w:p>
      <w:pPr>
        <w:spacing w:before="50" w:after="50" w:line="360" w:lineRule="auto"/>
        <w:ind w:firstLine="480" w:firstLineChars="200"/>
        <w:rPr>
          <w:color w:val="auto"/>
          <w:sz w:val="24"/>
          <w:szCs w:val="28"/>
        </w:rPr>
      </w:pPr>
    </w:p>
    <w:p>
      <w:pPr>
        <w:snapToGrid w:val="0"/>
        <w:spacing w:line="360" w:lineRule="auto"/>
        <w:ind w:firstLine="482" w:firstLineChars="200"/>
        <w:jc w:val="right"/>
        <w:rPr>
          <w:b/>
          <w:color w:val="auto"/>
          <w:sz w:val="24"/>
        </w:rPr>
      </w:pPr>
      <w:r>
        <w:rPr>
          <w:b/>
          <w:color w:val="auto"/>
          <w:sz w:val="24"/>
        </w:rPr>
        <w:t>中广核核技术发展股份有限公司</w:t>
      </w:r>
    </w:p>
    <w:p>
      <w:pPr>
        <w:snapToGrid w:val="0"/>
        <w:spacing w:line="360" w:lineRule="auto"/>
        <w:ind w:firstLine="482" w:firstLineChars="200"/>
        <w:jc w:val="right"/>
        <w:rPr>
          <w:b/>
          <w:color w:val="auto"/>
          <w:sz w:val="24"/>
        </w:rPr>
      </w:pPr>
      <w:r>
        <w:rPr>
          <w:b/>
          <w:color w:val="auto"/>
          <w:sz w:val="24"/>
        </w:rPr>
        <w:t>董事会</w:t>
      </w:r>
    </w:p>
    <w:p>
      <w:pPr>
        <w:snapToGrid w:val="0"/>
        <w:spacing w:line="360" w:lineRule="auto"/>
        <w:ind w:firstLine="482" w:firstLineChars="200"/>
        <w:jc w:val="right"/>
        <w:rPr>
          <w:color w:val="auto"/>
        </w:rPr>
      </w:pPr>
      <w:r>
        <w:rPr>
          <w:b/>
          <w:color w:val="auto"/>
          <w:sz w:val="24"/>
        </w:rPr>
        <w:t>202</w:t>
      </w:r>
      <w:r>
        <w:rPr>
          <w:rFonts w:hint="eastAsia"/>
          <w:b/>
          <w:color w:val="auto"/>
          <w:sz w:val="24"/>
          <w:lang w:val="en-US" w:eastAsia="zh-CN"/>
        </w:rPr>
        <w:t>4</w:t>
      </w:r>
      <w:r>
        <w:rPr>
          <w:b/>
          <w:color w:val="auto"/>
          <w:sz w:val="24"/>
        </w:rPr>
        <w:t>年</w:t>
      </w:r>
      <w:r>
        <w:rPr>
          <w:rFonts w:hint="eastAsia"/>
          <w:b/>
          <w:color w:val="auto"/>
          <w:sz w:val="24"/>
        </w:rPr>
        <w:t>1</w:t>
      </w:r>
      <w:r>
        <w:rPr>
          <w:b/>
          <w:color w:val="auto"/>
          <w:sz w:val="24"/>
        </w:rPr>
        <w:t>月</w:t>
      </w:r>
      <w:r>
        <w:rPr>
          <w:rFonts w:hint="eastAsia"/>
          <w:b/>
          <w:color w:val="auto"/>
          <w:sz w:val="24"/>
        </w:rPr>
        <w:t>2</w:t>
      </w:r>
      <w:r>
        <w:rPr>
          <w:rFonts w:hint="eastAsia"/>
          <w:b/>
          <w:color w:val="auto"/>
          <w:sz w:val="24"/>
          <w:lang w:val="en-US" w:eastAsia="zh-CN"/>
        </w:rPr>
        <w:t>9</w:t>
      </w:r>
      <w:bookmarkStart w:id="1" w:name="_GoBack"/>
      <w:bookmarkEnd w:id="1"/>
      <w:r>
        <w:rPr>
          <w:b/>
          <w:color w:val="auto"/>
          <w:sz w:val="24"/>
        </w:rPr>
        <w:t>日</w:t>
      </w:r>
    </w:p>
    <w:p>
      <w:pPr>
        <w:widowControl/>
        <w:spacing w:line="360" w:lineRule="auto"/>
        <w:jc w:val="right"/>
        <w:rPr>
          <w:sz w:val="24"/>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E79D6"/>
    <w:multiLevelType w:val="multilevel"/>
    <w:tmpl w:val="0DAE79D6"/>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hiNGI0YmE3ODA0NTM1ZmE0YTM1N2UwNWU2NGEifQ=="/>
  </w:docVars>
  <w:rsids>
    <w:rsidRoot w:val="00AD4059"/>
    <w:rsid w:val="000112FD"/>
    <w:rsid w:val="00094319"/>
    <w:rsid w:val="000A651B"/>
    <w:rsid w:val="000D381D"/>
    <w:rsid w:val="000E3448"/>
    <w:rsid w:val="000E517F"/>
    <w:rsid w:val="00126480"/>
    <w:rsid w:val="001A545A"/>
    <w:rsid w:val="002B3DCC"/>
    <w:rsid w:val="002D0C03"/>
    <w:rsid w:val="003477AF"/>
    <w:rsid w:val="00354EC3"/>
    <w:rsid w:val="0038252E"/>
    <w:rsid w:val="0039422B"/>
    <w:rsid w:val="0039654E"/>
    <w:rsid w:val="003E419D"/>
    <w:rsid w:val="004330B5"/>
    <w:rsid w:val="0045568D"/>
    <w:rsid w:val="004800BB"/>
    <w:rsid w:val="004B576D"/>
    <w:rsid w:val="004B7DED"/>
    <w:rsid w:val="00504327"/>
    <w:rsid w:val="005668D2"/>
    <w:rsid w:val="00615904"/>
    <w:rsid w:val="00625182"/>
    <w:rsid w:val="0063069B"/>
    <w:rsid w:val="00634BE0"/>
    <w:rsid w:val="006B0A84"/>
    <w:rsid w:val="007F2015"/>
    <w:rsid w:val="008010F8"/>
    <w:rsid w:val="00803D10"/>
    <w:rsid w:val="008158B4"/>
    <w:rsid w:val="008219A9"/>
    <w:rsid w:val="00864696"/>
    <w:rsid w:val="008A6FDE"/>
    <w:rsid w:val="008C6621"/>
    <w:rsid w:val="0095074F"/>
    <w:rsid w:val="00982354"/>
    <w:rsid w:val="00991648"/>
    <w:rsid w:val="009A34BF"/>
    <w:rsid w:val="009A5479"/>
    <w:rsid w:val="009D4FD8"/>
    <w:rsid w:val="00A857E2"/>
    <w:rsid w:val="00AD4059"/>
    <w:rsid w:val="00B14F5C"/>
    <w:rsid w:val="00BB0A3D"/>
    <w:rsid w:val="00BC6D8C"/>
    <w:rsid w:val="00BE6840"/>
    <w:rsid w:val="00BF362E"/>
    <w:rsid w:val="00C16FF6"/>
    <w:rsid w:val="00C40CFA"/>
    <w:rsid w:val="00C94AE0"/>
    <w:rsid w:val="00CD7880"/>
    <w:rsid w:val="00CE10FF"/>
    <w:rsid w:val="00D06520"/>
    <w:rsid w:val="00D149C7"/>
    <w:rsid w:val="00D6693B"/>
    <w:rsid w:val="00DC3A77"/>
    <w:rsid w:val="00F4514F"/>
    <w:rsid w:val="00F72035"/>
    <w:rsid w:val="00FB0B99"/>
    <w:rsid w:val="00FE13AA"/>
    <w:rsid w:val="00FE35D7"/>
    <w:rsid w:val="07251362"/>
    <w:rsid w:val="0750552D"/>
    <w:rsid w:val="07F305BA"/>
    <w:rsid w:val="0BD1579C"/>
    <w:rsid w:val="0C193EB6"/>
    <w:rsid w:val="0CA000B2"/>
    <w:rsid w:val="0D56290F"/>
    <w:rsid w:val="0EE77B49"/>
    <w:rsid w:val="13E35BCE"/>
    <w:rsid w:val="157A4BA9"/>
    <w:rsid w:val="15BC3965"/>
    <w:rsid w:val="1D3D25A3"/>
    <w:rsid w:val="21132E34"/>
    <w:rsid w:val="25950353"/>
    <w:rsid w:val="26D76036"/>
    <w:rsid w:val="3043538C"/>
    <w:rsid w:val="306239B2"/>
    <w:rsid w:val="306E2785"/>
    <w:rsid w:val="31FC6F8A"/>
    <w:rsid w:val="33C46AC5"/>
    <w:rsid w:val="36B9513C"/>
    <w:rsid w:val="379B5DE9"/>
    <w:rsid w:val="38B14967"/>
    <w:rsid w:val="38FD73A4"/>
    <w:rsid w:val="3B1332BB"/>
    <w:rsid w:val="3D3B55AB"/>
    <w:rsid w:val="42A25F9F"/>
    <w:rsid w:val="442229D7"/>
    <w:rsid w:val="460C6F8D"/>
    <w:rsid w:val="4960478C"/>
    <w:rsid w:val="4A8A1E7A"/>
    <w:rsid w:val="4E8A18D5"/>
    <w:rsid w:val="4F0C042B"/>
    <w:rsid w:val="53792FA8"/>
    <w:rsid w:val="55E42189"/>
    <w:rsid w:val="581C1842"/>
    <w:rsid w:val="59687DD7"/>
    <w:rsid w:val="5B6E3AD4"/>
    <w:rsid w:val="5F8A2BC9"/>
    <w:rsid w:val="5FA20536"/>
    <w:rsid w:val="68D36148"/>
    <w:rsid w:val="69115E3C"/>
    <w:rsid w:val="6CBF795B"/>
    <w:rsid w:val="6D1C55E9"/>
    <w:rsid w:val="70A53B49"/>
    <w:rsid w:val="72030389"/>
    <w:rsid w:val="78692266"/>
    <w:rsid w:val="7BAA5938"/>
    <w:rsid w:val="7CEE34BC"/>
    <w:rsid w:val="7D2B04F6"/>
    <w:rsid w:val="7FEFE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numPr>
        <w:ilvl w:val="0"/>
        <w:numId w:val="1"/>
      </w:numPr>
      <w:spacing w:before="240" w:after="60"/>
      <w:jc w:val="center"/>
      <w:outlineLvl w:val="0"/>
    </w:pPr>
    <w:rPr>
      <w:rFonts w:ascii="Cambria" w:hAnsi="Cambria" w:eastAsia="黑体" w:cstheme="minorBidi"/>
      <w:b/>
      <w:bCs/>
      <w:kern w:val="32"/>
      <w:sz w:val="36"/>
      <w:szCs w:val="32"/>
    </w:rPr>
  </w:style>
  <w:style w:type="paragraph" w:styleId="3">
    <w:name w:val="heading 2"/>
    <w:basedOn w:val="1"/>
    <w:next w:val="1"/>
    <w:link w:val="17"/>
    <w:qFormat/>
    <w:uiPriority w:val="0"/>
    <w:pPr>
      <w:keepNext/>
      <w:numPr>
        <w:ilvl w:val="1"/>
        <w:numId w:val="1"/>
      </w:numPr>
      <w:spacing w:before="240" w:after="60"/>
      <w:ind w:left="210" w:leftChars="100" w:right="100" w:rightChars="100"/>
      <w:jc w:val="left"/>
      <w:outlineLvl w:val="1"/>
    </w:pPr>
    <w:rPr>
      <w:rFonts w:ascii="Cambria" w:hAnsi="Cambria" w:eastAsiaTheme="minorEastAsia" w:cstheme="minorBidi"/>
      <w:b/>
      <w:bCs/>
      <w:iCs/>
      <w:sz w:val="24"/>
      <w:szCs w:val="28"/>
    </w:rPr>
  </w:style>
  <w:style w:type="paragraph" w:styleId="4">
    <w:name w:val="heading 3"/>
    <w:basedOn w:val="1"/>
    <w:next w:val="1"/>
    <w:link w:val="18"/>
    <w:qFormat/>
    <w:uiPriority w:val="0"/>
    <w:pPr>
      <w:keepNext/>
      <w:numPr>
        <w:ilvl w:val="2"/>
        <w:numId w:val="1"/>
      </w:numPr>
      <w:spacing w:before="240" w:after="60"/>
      <w:jc w:val="center"/>
      <w:outlineLvl w:val="2"/>
    </w:pPr>
    <w:rPr>
      <w:rFonts w:ascii="Cambria" w:hAnsi="Cambria" w:eastAsia="仿宋" w:cstheme="minorBidi"/>
      <w:b/>
      <w:bCs/>
      <w:sz w:val="26"/>
      <w:szCs w:val="2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unhideWhenUsed/>
    <w:qFormat/>
    <w:uiPriority w:val="99"/>
    <w:pPr>
      <w:jc w:val="left"/>
    </w:pPr>
  </w:style>
  <w:style w:type="paragraph" w:styleId="6">
    <w:name w:val="Balloon Text"/>
    <w:basedOn w:val="1"/>
    <w:link w:val="27"/>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itle"/>
    <w:basedOn w:val="1"/>
    <w:next w:val="1"/>
    <w:link w:val="19"/>
    <w:qFormat/>
    <w:uiPriority w:val="0"/>
    <w:pPr>
      <w:spacing w:before="240" w:after="60"/>
      <w:jc w:val="center"/>
      <w:outlineLvl w:val="0"/>
    </w:pPr>
    <w:rPr>
      <w:rFonts w:ascii="Cambria" w:hAnsi="Cambria" w:eastAsia="仿宋" w:cstheme="minorBidi"/>
      <w:b/>
      <w:bCs/>
      <w:kern w:val="28"/>
      <w:sz w:val="44"/>
      <w:szCs w:val="32"/>
    </w:rPr>
  </w:style>
  <w:style w:type="paragraph" w:styleId="10">
    <w:name w:val="annotation subject"/>
    <w:basedOn w:val="5"/>
    <w:next w:val="5"/>
    <w:link w:val="26"/>
    <w:semiHidden/>
    <w:unhideWhenUsed/>
    <w:qFormat/>
    <w:uiPriority w:val="99"/>
    <w:rPr>
      <w:b/>
      <w:bCs/>
    </w:rPr>
  </w:style>
  <w:style w:type="character" w:styleId="13">
    <w:name w:val="Emphasis"/>
    <w:basedOn w:val="12"/>
    <w:qFormat/>
    <w:uiPriority w:val="20"/>
    <w:rPr>
      <w:i/>
      <w:iCs/>
    </w:rPr>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标题 1 字符"/>
    <w:link w:val="2"/>
    <w:qFormat/>
    <w:uiPriority w:val="0"/>
    <w:rPr>
      <w:rFonts w:ascii="Cambria" w:hAnsi="Cambria" w:eastAsia="黑体"/>
      <w:b/>
      <w:bCs/>
      <w:kern w:val="32"/>
      <w:sz w:val="36"/>
      <w:szCs w:val="32"/>
    </w:rPr>
  </w:style>
  <w:style w:type="character" w:customStyle="1" w:styleId="17">
    <w:name w:val="标题 2 字符"/>
    <w:link w:val="3"/>
    <w:qFormat/>
    <w:uiPriority w:val="0"/>
    <w:rPr>
      <w:rFonts w:ascii="Cambria" w:hAnsi="Cambria"/>
      <w:b/>
      <w:bCs/>
      <w:iCs/>
      <w:sz w:val="24"/>
      <w:szCs w:val="28"/>
    </w:rPr>
  </w:style>
  <w:style w:type="character" w:customStyle="1" w:styleId="18">
    <w:name w:val="标题 3 字符"/>
    <w:link w:val="4"/>
    <w:qFormat/>
    <w:uiPriority w:val="0"/>
    <w:rPr>
      <w:rFonts w:ascii="Cambria" w:hAnsi="Cambria" w:eastAsia="仿宋"/>
      <w:b/>
      <w:bCs/>
      <w:sz w:val="26"/>
      <w:szCs w:val="26"/>
    </w:rPr>
  </w:style>
  <w:style w:type="character" w:customStyle="1" w:styleId="19">
    <w:name w:val="标题 字符"/>
    <w:link w:val="9"/>
    <w:qFormat/>
    <w:uiPriority w:val="0"/>
    <w:rPr>
      <w:rFonts w:ascii="Cambria" w:hAnsi="Cambria" w:eastAsia="仿宋"/>
      <w:b/>
      <w:bCs/>
      <w:kern w:val="28"/>
      <w:sz w:val="44"/>
      <w:szCs w:val="32"/>
    </w:rPr>
  </w:style>
  <w:style w:type="character" w:customStyle="1" w:styleId="20">
    <w:name w:val="页眉 字符"/>
    <w:basedOn w:val="12"/>
    <w:link w:val="8"/>
    <w:qFormat/>
    <w:uiPriority w:val="99"/>
    <w:rPr>
      <w:sz w:val="18"/>
      <w:szCs w:val="18"/>
    </w:rPr>
  </w:style>
  <w:style w:type="character" w:customStyle="1" w:styleId="21">
    <w:name w:val="页脚 字符"/>
    <w:basedOn w:val="12"/>
    <w:link w:val="7"/>
    <w:qFormat/>
    <w:uiPriority w:val="99"/>
    <w:rPr>
      <w:sz w:val="18"/>
      <w:szCs w:val="18"/>
    </w:rPr>
  </w:style>
  <w:style w:type="paragraph" w:customStyle="1" w:styleId="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4">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5">
    <w:name w:val="批注文字 字符"/>
    <w:basedOn w:val="12"/>
    <w:link w:val="5"/>
    <w:qFormat/>
    <w:uiPriority w:val="99"/>
    <w:rPr>
      <w:rFonts w:ascii="Times New Roman" w:hAnsi="Times New Roman" w:eastAsia="宋体" w:cs="Times New Roman"/>
      <w:kern w:val="2"/>
      <w:sz w:val="21"/>
      <w:szCs w:val="24"/>
    </w:rPr>
  </w:style>
  <w:style w:type="character" w:customStyle="1" w:styleId="26">
    <w:name w:val="批注主题 字符"/>
    <w:basedOn w:val="25"/>
    <w:link w:val="10"/>
    <w:semiHidden/>
    <w:qFormat/>
    <w:uiPriority w:val="99"/>
    <w:rPr>
      <w:rFonts w:ascii="Times New Roman" w:hAnsi="Times New Roman" w:eastAsia="宋体" w:cs="Times New Roman"/>
      <w:b/>
      <w:bCs/>
      <w:kern w:val="2"/>
      <w:sz w:val="21"/>
      <w:szCs w:val="24"/>
    </w:rPr>
  </w:style>
  <w:style w:type="character" w:customStyle="1" w:styleId="27">
    <w:name w:val="批注框文本 字符"/>
    <w:basedOn w:val="12"/>
    <w:link w:val="6"/>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284</Words>
  <Characters>1623</Characters>
  <Lines>13</Lines>
  <Paragraphs>3</Paragraphs>
  <TotalTime>3</TotalTime>
  <ScaleCrop>false</ScaleCrop>
  <LinksUpToDate>false</LinksUpToDate>
  <CharactersWithSpaces>1904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2023-10-24T06:56:00Z</dcterms:created>
  <dc:creator>刘青尚 Liu, Qingshang</dc:creator>
  <cp:lastModifiedBy>牟海涛</cp:lastModifiedBy>
  <dcterms:modified xsi:type="dcterms:W3CDTF">2024-01-26T01:35:37Z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3482B5B3FF8743B546E6C964FE604F30_42</vt:lpwstr>
  </property>
</Properties>
</file>